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B1CD9">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3B29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rPr>
        <w:t>宁波市镇海蛟川城市更新开发建设有限公</w:t>
      </w:r>
      <w:r>
        <w:rPr>
          <w:rFonts w:hint="eastAsia" w:ascii="宋体" w:hAnsi="宋体" w:cs="宋体"/>
          <w:color w:val="auto"/>
          <w:sz w:val="24"/>
          <w:szCs w:val="24"/>
          <w:highlight w:val="none"/>
          <w:lang w:eastAsia="zh-CN"/>
        </w:rPr>
        <w:t>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7D1862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5293D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4DE884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50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968"/>
        <w:gridCol w:w="1036"/>
        <w:gridCol w:w="2038"/>
        <w:gridCol w:w="1455"/>
        <w:gridCol w:w="1551"/>
        <w:gridCol w:w="1010"/>
      </w:tblGrid>
      <w:tr w14:paraId="14C3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467" w:type="pct"/>
            <w:noWrap w:val="0"/>
            <w:vAlign w:val="center"/>
          </w:tcPr>
          <w:p w14:paraId="75AB2639">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984" w:type="pct"/>
            <w:noWrap w:val="0"/>
            <w:vAlign w:val="center"/>
          </w:tcPr>
          <w:p w14:paraId="1C69156A">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18" w:type="pct"/>
            <w:noWrap w:val="0"/>
            <w:vAlign w:val="center"/>
          </w:tcPr>
          <w:p w14:paraId="014C78A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规划用途</w:t>
            </w:r>
          </w:p>
        </w:tc>
        <w:tc>
          <w:tcPr>
            <w:tcW w:w="1019" w:type="pct"/>
            <w:noWrap w:val="0"/>
            <w:vAlign w:val="center"/>
          </w:tcPr>
          <w:p w14:paraId="109B83D8">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建筑面积</w:t>
            </w:r>
          </w:p>
          <w:p w14:paraId="1A3966E4">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（平方米）</w:t>
            </w:r>
            <w:r>
              <w:rPr>
                <w:rFonts w:hint="eastAsia" w:ascii="宋体" w:hAnsi="宋体" w:cs="宋体"/>
                <w:color w:val="000000"/>
                <w:kern w:val="0"/>
                <w:sz w:val="24"/>
                <w:highlight w:val="none"/>
                <w:lang w:val="en-US" w:eastAsia="zh-CN"/>
              </w:rPr>
              <w:t>/停车位数量</w:t>
            </w:r>
          </w:p>
        </w:tc>
        <w:tc>
          <w:tcPr>
            <w:tcW w:w="727" w:type="pct"/>
            <w:noWrap w:val="0"/>
            <w:vAlign w:val="center"/>
          </w:tcPr>
          <w:p w14:paraId="4642C84E">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776" w:type="pct"/>
            <w:noWrap w:val="0"/>
            <w:vAlign w:val="center"/>
          </w:tcPr>
          <w:p w14:paraId="526BA591">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保证金</w:t>
            </w:r>
          </w:p>
          <w:p w14:paraId="6744B748">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万</w:t>
            </w:r>
            <w:r>
              <w:rPr>
                <w:rFonts w:hint="eastAsia" w:ascii="宋体" w:hAnsi="宋体" w:cs="宋体"/>
                <w:color w:val="000000"/>
                <w:kern w:val="0"/>
                <w:sz w:val="24"/>
                <w:highlight w:val="none"/>
              </w:rPr>
              <w:t>元）</w:t>
            </w:r>
          </w:p>
        </w:tc>
        <w:tc>
          <w:tcPr>
            <w:tcW w:w="505" w:type="pct"/>
            <w:noWrap/>
            <w:vAlign w:val="center"/>
          </w:tcPr>
          <w:p w14:paraId="70B57B71">
            <w:pPr>
              <w:spacing w:line="260" w:lineRule="exact"/>
              <w:ind w:right="200"/>
              <w:jc w:val="center"/>
              <w:rPr>
                <w:rFonts w:hint="eastAsia" w:ascii="宋体" w:hAnsi="宋体" w:cs="宋体"/>
                <w:color w:val="000000"/>
                <w:sz w:val="24"/>
                <w:highlight w:val="none"/>
              </w:rPr>
            </w:pPr>
            <w:r>
              <w:rPr>
                <w:rFonts w:hint="eastAsia" w:ascii="宋体" w:hAnsi="宋体" w:cs="宋体"/>
                <w:color w:val="000000"/>
                <w:sz w:val="24"/>
                <w:highlight w:val="none"/>
              </w:rPr>
              <w:t>租期</w:t>
            </w:r>
          </w:p>
        </w:tc>
      </w:tr>
      <w:tr w14:paraId="3FD3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467" w:type="pct"/>
            <w:vMerge w:val="restart"/>
            <w:noWrap w:val="0"/>
            <w:vAlign w:val="center"/>
          </w:tcPr>
          <w:p w14:paraId="7F2BD3A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1</w:t>
            </w:r>
          </w:p>
        </w:tc>
        <w:tc>
          <w:tcPr>
            <w:tcW w:w="984" w:type="pct"/>
            <w:noWrap w:val="0"/>
            <w:vAlign w:val="center"/>
          </w:tcPr>
          <w:p w14:paraId="72B2DF89">
            <w:pPr>
              <w:widowControl/>
              <w:jc w:val="center"/>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镇海区ZH03-01-09-02地块</w:t>
            </w:r>
            <w:r>
              <w:rPr>
                <w:rFonts w:hint="eastAsia" w:ascii="宋体" w:hAnsi="宋体" w:cs="宋体"/>
                <w:color w:val="000000"/>
                <w:kern w:val="0"/>
                <w:sz w:val="24"/>
                <w:highlight w:val="none"/>
                <w:lang w:val="en-US" w:eastAsia="zh-CN"/>
              </w:rPr>
              <w:t>租赁权</w:t>
            </w:r>
          </w:p>
        </w:tc>
        <w:tc>
          <w:tcPr>
            <w:tcW w:w="518" w:type="pct"/>
            <w:noWrap w:val="0"/>
            <w:vAlign w:val="center"/>
          </w:tcPr>
          <w:p w14:paraId="775812AA">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教育用地</w:t>
            </w:r>
          </w:p>
        </w:tc>
        <w:tc>
          <w:tcPr>
            <w:tcW w:w="1019" w:type="pct"/>
            <w:noWrap w:val="0"/>
            <w:vAlign w:val="center"/>
          </w:tcPr>
          <w:p w14:paraId="467A7FF8">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34313.78</w:t>
            </w:r>
          </w:p>
        </w:tc>
        <w:tc>
          <w:tcPr>
            <w:tcW w:w="727" w:type="pct"/>
            <w:vMerge w:val="restart"/>
            <w:noWrap w:val="0"/>
            <w:vAlign w:val="center"/>
          </w:tcPr>
          <w:p w14:paraId="18AD3131">
            <w:pPr>
              <w:widowControl/>
              <w:jc w:val="center"/>
              <w:rPr>
                <w:rFonts w:hint="default" w:ascii="宋体" w:hAnsi="宋体" w:cs="宋体"/>
                <w:color w:val="000000"/>
                <w:kern w:val="0"/>
                <w:sz w:val="24"/>
                <w:highlight w:val="none"/>
                <w:lang w:val="en-US"/>
              </w:rPr>
            </w:pPr>
            <w:r>
              <w:rPr>
                <w:rFonts w:hint="eastAsia" w:ascii="宋体" w:hAnsi="宋体" w:cs="宋体"/>
                <w:color w:val="000000"/>
                <w:kern w:val="0"/>
                <w:sz w:val="24"/>
                <w:highlight w:val="none"/>
                <w:lang w:val="en-US" w:eastAsia="zh-CN"/>
              </w:rPr>
              <w:t>17071000</w:t>
            </w:r>
          </w:p>
        </w:tc>
        <w:tc>
          <w:tcPr>
            <w:tcW w:w="776" w:type="pct"/>
            <w:vMerge w:val="restart"/>
            <w:noWrap w:val="0"/>
            <w:vAlign w:val="center"/>
          </w:tcPr>
          <w:p w14:paraId="19095E05">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w:t>
            </w:r>
          </w:p>
        </w:tc>
        <w:tc>
          <w:tcPr>
            <w:tcW w:w="505" w:type="pct"/>
            <w:vMerge w:val="restart"/>
            <w:noWrap w:val="0"/>
            <w:vAlign w:val="center"/>
          </w:tcPr>
          <w:p w14:paraId="322A35B9">
            <w:pPr>
              <w:widowControl/>
              <w:jc w:val="center"/>
              <w:textAlignment w:val="center"/>
              <w:rPr>
                <w:rFonts w:ascii="宋体" w:hAnsi="宋体" w:cs="宋体"/>
                <w:color w:val="000000"/>
                <w:kern w:val="0"/>
                <w:sz w:val="22"/>
                <w:szCs w:val="22"/>
                <w:highlight w:val="none"/>
              </w:rPr>
            </w:pPr>
            <w:r>
              <w:rPr>
                <w:rFonts w:hint="eastAsia" w:ascii="宋体" w:hAnsi="宋体" w:eastAsia="宋体" w:cs="宋体"/>
                <w:color w:val="000000"/>
                <w:kern w:val="0"/>
                <w:sz w:val="24"/>
                <w:highlight w:val="none"/>
                <w:lang w:val="en-US" w:eastAsia="zh-CN" w:bidi="ar"/>
              </w:rPr>
              <w:t>3年</w:t>
            </w:r>
          </w:p>
        </w:tc>
      </w:tr>
      <w:tr w14:paraId="2D9D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467" w:type="pct"/>
            <w:vMerge w:val="continue"/>
            <w:noWrap w:val="0"/>
            <w:vAlign w:val="center"/>
          </w:tcPr>
          <w:p w14:paraId="30F8C89C">
            <w:pPr>
              <w:widowControl/>
              <w:jc w:val="center"/>
              <w:rPr>
                <w:rFonts w:hint="eastAsia" w:ascii="宋体" w:hAnsi="宋体" w:eastAsia="宋体" w:cs="宋体"/>
                <w:color w:val="000000"/>
                <w:kern w:val="0"/>
                <w:sz w:val="24"/>
                <w:highlight w:val="none"/>
                <w:lang w:val="en-US" w:eastAsia="zh-CN"/>
              </w:rPr>
            </w:pPr>
          </w:p>
        </w:tc>
        <w:tc>
          <w:tcPr>
            <w:tcW w:w="984" w:type="pct"/>
            <w:noWrap w:val="0"/>
            <w:vAlign w:val="center"/>
          </w:tcPr>
          <w:p w14:paraId="29EDF41A">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镇海区ZH03-01-09-02地块</w:t>
            </w:r>
            <w:r>
              <w:rPr>
                <w:rFonts w:hint="eastAsia" w:ascii="宋体" w:hAnsi="宋体" w:cs="宋体"/>
                <w:color w:val="000000"/>
                <w:kern w:val="0"/>
                <w:sz w:val="24"/>
                <w:highlight w:val="none"/>
                <w:lang w:val="en-US" w:eastAsia="zh-CN"/>
              </w:rPr>
              <w:t>租赁权</w:t>
            </w:r>
          </w:p>
        </w:tc>
        <w:tc>
          <w:tcPr>
            <w:tcW w:w="518" w:type="pct"/>
            <w:noWrap w:val="0"/>
            <w:vAlign w:val="center"/>
          </w:tcPr>
          <w:p w14:paraId="59BC7126">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停车位</w:t>
            </w:r>
          </w:p>
        </w:tc>
        <w:tc>
          <w:tcPr>
            <w:tcW w:w="1019" w:type="pct"/>
            <w:noWrap w:val="0"/>
            <w:vAlign w:val="center"/>
          </w:tcPr>
          <w:p w14:paraId="5AF0558F">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262</w:t>
            </w:r>
          </w:p>
        </w:tc>
        <w:tc>
          <w:tcPr>
            <w:tcW w:w="727" w:type="pct"/>
            <w:vMerge w:val="continue"/>
            <w:noWrap w:val="0"/>
            <w:vAlign w:val="center"/>
          </w:tcPr>
          <w:p w14:paraId="4B3B7343">
            <w:pPr>
              <w:widowControl/>
              <w:jc w:val="center"/>
              <w:rPr>
                <w:rFonts w:hint="default" w:ascii="宋体" w:hAnsi="宋体" w:eastAsia="宋体" w:cs="宋体"/>
                <w:color w:val="000000"/>
                <w:kern w:val="0"/>
                <w:sz w:val="24"/>
                <w:highlight w:val="none"/>
                <w:lang w:val="en-US" w:eastAsia="zh-CN"/>
              </w:rPr>
            </w:pPr>
          </w:p>
        </w:tc>
        <w:tc>
          <w:tcPr>
            <w:tcW w:w="776" w:type="pct"/>
            <w:vMerge w:val="continue"/>
            <w:noWrap w:val="0"/>
            <w:vAlign w:val="center"/>
          </w:tcPr>
          <w:p w14:paraId="0D5365FF">
            <w:pPr>
              <w:widowControl/>
              <w:jc w:val="center"/>
              <w:textAlignment w:val="center"/>
              <w:rPr>
                <w:rFonts w:hint="default" w:ascii="宋体" w:hAnsi="宋体" w:eastAsia="宋体" w:cs="宋体"/>
                <w:color w:val="000000"/>
                <w:kern w:val="0"/>
                <w:sz w:val="24"/>
                <w:highlight w:val="none"/>
                <w:lang w:val="en-US" w:eastAsia="zh-CN" w:bidi="ar"/>
              </w:rPr>
            </w:pPr>
          </w:p>
        </w:tc>
        <w:tc>
          <w:tcPr>
            <w:tcW w:w="505" w:type="pct"/>
            <w:vMerge w:val="continue"/>
            <w:noWrap w:val="0"/>
            <w:vAlign w:val="center"/>
          </w:tcPr>
          <w:p w14:paraId="0E869B06">
            <w:pPr>
              <w:widowControl/>
              <w:jc w:val="center"/>
              <w:textAlignment w:val="center"/>
              <w:rPr>
                <w:rFonts w:hint="eastAsia" w:ascii="宋体" w:hAnsi="宋体" w:eastAsia="宋体" w:cs="宋体"/>
                <w:color w:val="000000"/>
                <w:kern w:val="0"/>
                <w:sz w:val="24"/>
                <w:highlight w:val="none"/>
                <w:lang w:val="en-US" w:eastAsia="zh-CN" w:bidi="ar"/>
              </w:rPr>
            </w:pPr>
          </w:p>
        </w:tc>
      </w:tr>
    </w:tbl>
    <w:p w14:paraId="366E64DD">
      <w:pPr>
        <w:keepNext w:val="0"/>
        <w:keepLines w:val="0"/>
        <w:pageBreakBefore w:val="0"/>
        <w:numPr>
          <w:ilvl w:val="0"/>
          <w:numId w:val="0"/>
        </w:numPr>
        <w:kinsoku/>
        <w:wordWrap/>
        <w:overflowPunct/>
        <w:topLinePunct w:val="0"/>
        <w:autoSpaceDE/>
        <w:autoSpaceDN/>
        <w:bidi w:val="0"/>
        <w:adjustRightInd/>
        <w:spacing w:line="360" w:lineRule="auto"/>
        <w:ind w:left="0" w:right="0" w:firstLine="482" w:firstLineChars="200"/>
        <w:textAlignment w:val="auto"/>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特别说明：</w:t>
      </w:r>
    </w:p>
    <w:p w14:paraId="4E7C5796">
      <w:pPr>
        <w:keepNext w:val="0"/>
        <w:keepLines w:val="0"/>
        <w:pageBreakBefore w:val="0"/>
        <w:numPr>
          <w:ilvl w:val="0"/>
          <w:numId w:val="0"/>
        </w:numPr>
        <w:kinsoku/>
        <w:wordWrap/>
        <w:overflowPunct/>
        <w:topLinePunct w:val="0"/>
        <w:autoSpaceDE/>
        <w:autoSpaceDN/>
        <w:bidi w:val="0"/>
        <w:adjustRightInd/>
        <w:spacing w:line="360" w:lineRule="auto"/>
        <w:ind w:left="0" w:right="0" w:firstLine="482" w:firstLineChars="200"/>
        <w:textAlignment w:val="auto"/>
        <w:rPr>
          <w:rFonts w:ascii="宋体" w:hAnsi="宋体" w:cs="宋体"/>
          <w:b/>
          <w:kern w:val="0"/>
          <w:sz w:val="24"/>
          <w:szCs w:val="24"/>
        </w:rPr>
      </w:pPr>
      <w:r>
        <w:rPr>
          <w:rFonts w:hint="eastAsia" w:ascii="宋体" w:hAnsi="宋体" w:cs="宋体"/>
          <w:b/>
          <w:color w:val="auto"/>
          <w:sz w:val="24"/>
          <w:szCs w:val="24"/>
          <w:lang w:val="en-US" w:eastAsia="zh-CN"/>
        </w:rPr>
        <w:t>1.该出租标的用途仅限用于教育类行业使用，不可分租、转租，</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p w14:paraId="736FA7DB">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Tahoma"/>
          <w:b w:val="0"/>
          <w:bCs w:val="0"/>
          <w:color w:val="auto"/>
          <w:kern w:val="2"/>
          <w:sz w:val="24"/>
          <w:szCs w:val="24"/>
          <w:highlight w:val="none"/>
          <w:lang w:val="en-US" w:eastAsia="zh-CN" w:bidi="ar-SA"/>
        </w:rPr>
      </w:pPr>
      <w:r>
        <w:rPr>
          <w:rFonts w:hint="eastAsia" w:ascii="宋体" w:hAnsi="宋体" w:cs="宋体"/>
          <w:b/>
          <w:kern w:val="0"/>
          <w:sz w:val="24"/>
          <w:lang w:val="en-US" w:eastAsia="zh-CN"/>
        </w:rPr>
        <w:t>2.</w:t>
      </w: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4D741037">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3AEF73E">
      <w:pPr>
        <w:pStyle w:val="9"/>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①</w:t>
      </w:r>
      <w:r>
        <w:rPr>
          <w:rFonts w:hint="eastAsia" w:ascii="宋体" w:hAnsi="宋体" w:eastAsia="宋体" w:cs="Tahoma"/>
          <w:b w:val="0"/>
          <w:bCs w:val="0"/>
          <w:color w:val="auto"/>
          <w:sz w:val="24"/>
          <w:szCs w:val="24"/>
          <w:highlight w:val="none"/>
          <w:lang w:val="en-US" w:eastAsia="zh-CN"/>
        </w:rPr>
        <w:t>竞买人须为依法注册、合法存续、资质齐全的独立法人企业或正规社会组织，具备有效的营业执照、资质证书等全部合法经营手续，存续时间不少于3年，无经营异常记录，</w:t>
      </w:r>
      <w:r>
        <w:rPr>
          <w:rFonts w:hint="eastAsia" w:ascii="宋体" w:hAnsi="宋体" w:cs="Tahoma"/>
          <w:b w:val="0"/>
          <w:bCs w:val="0"/>
          <w:color w:val="auto"/>
          <w:sz w:val="24"/>
          <w:szCs w:val="24"/>
          <w:highlight w:val="none"/>
          <w:lang w:val="en-US" w:eastAsia="zh-CN"/>
        </w:rPr>
        <w:t>主营业务为教育行业，</w:t>
      </w:r>
      <w:r>
        <w:rPr>
          <w:rFonts w:hint="eastAsia" w:ascii="宋体" w:hAnsi="宋体" w:eastAsia="宋体" w:cs="Tahoma"/>
          <w:b w:val="0"/>
          <w:bCs w:val="0"/>
          <w:color w:val="auto"/>
          <w:sz w:val="24"/>
          <w:szCs w:val="24"/>
          <w:highlight w:val="none"/>
          <w:lang w:val="en-US" w:eastAsia="zh-CN"/>
        </w:rPr>
        <w:t>注册资本及实收资本到账5000万元及以上（报名时提供营业执照</w:t>
      </w:r>
      <w:r>
        <w:rPr>
          <w:rFonts w:hint="eastAsia" w:ascii="宋体" w:hAnsi="宋体" w:cs="Tahoma"/>
          <w:b w:val="0"/>
          <w:bCs w:val="0"/>
          <w:color w:val="auto"/>
          <w:sz w:val="24"/>
          <w:szCs w:val="24"/>
          <w:highlight w:val="none"/>
          <w:lang w:val="en-US" w:eastAsia="zh-CN"/>
        </w:rPr>
        <w:t>及</w:t>
      </w:r>
      <w:r>
        <w:rPr>
          <w:rFonts w:hint="eastAsia" w:ascii="宋体" w:hAnsi="宋体" w:eastAsia="宋体" w:cs="Tahoma"/>
          <w:b w:val="0"/>
          <w:bCs w:val="0"/>
          <w:color w:val="auto"/>
          <w:sz w:val="24"/>
          <w:szCs w:val="24"/>
          <w:highlight w:val="none"/>
          <w:lang w:val="en-US" w:eastAsia="zh-CN"/>
        </w:rPr>
        <w:t>银行转账凭证），营业执照注册资本及实收资本要求为竞价公告发布日之前</w:t>
      </w:r>
      <w:r>
        <w:rPr>
          <w:rFonts w:hint="eastAsia" w:ascii="宋体" w:hAnsi="宋体" w:eastAsia="宋体" w:cs="Tahoma"/>
          <w:b w:val="0"/>
          <w:bCs w:val="0"/>
          <w:color w:val="auto"/>
          <w:sz w:val="24"/>
          <w:szCs w:val="24"/>
        </w:rPr>
        <w:t>。</w:t>
      </w:r>
    </w:p>
    <w:p w14:paraId="08285CCB">
      <w:pPr>
        <w:pStyle w:val="9"/>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default" w:ascii="宋体" w:hAnsi="宋体" w:eastAsia="宋体" w:cs="Tahoma"/>
          <w:b w:val="0"/>
          <w:bCs w:val="0"/>
          <w:color w:val="auto"/>
          <w:sz w:val="24"/>
          <w:szCs w:val="24"/>
          <w:lang w:val="en-US" w:eastAsia="zh-CN"/>
        </w:rPr>
      </w:pPr>
      <w:r>
        <w:rPr>
          <w:rFonts w:hint="eastAsia" w:ascii="宋体" w:hAnsi="宋体" w:cs="Tahoma"/>
          <w:b w:val="0"/>
          <w:bCs w:val="0"/>
          <w:color w:val="auto"/>
          <w:sz w:val="24"/>
          <w:szCs w:val="24"/>
          <w:lang w:val="en-US" w:eastAsia="zh-CN"/>
        </w:rPr>
        <w:t>②具备成熟的教育产业、教育培训、教育研发相关运营资质及3年以上相关行业运营经验，</w:t>
      </w:r>
      <w:r>
        <w:rPr>
          <w:rFonts w:hint="eastAsia" w:ascii="宋体" w:hAnsi="宋体" w:eastAsia="宋体" w:cs="Tahoma"/>
          <w:b w:val="0"/>
          <w:bCs w:val="0"/>
          <w:color w:val="auto"/>
          <w:sz w:val="24"/>
          <w:szCs w:val="24"/>
        </w:rPr>
        <w:t>报名时提供</w:t>
      </w:r>
      <w:r>
        <w:rPr>
          <w:rFonts w:hint="eastAsia" w:ascii="宋体" w:hAnsi="宋体" w:cs="Tahoma"/>
          <w:b w:val="0"/>
          <w:bCs w:val="0"/>
          <w:color w:val="auto"/>
          <w:sz w:val="24"/>
          <w:szCs w:val="24"/>
          <w:lang w:val="en-US" w:eastAsia="zh-CN"/>
        </w:rPr>
        <w:t>相关运营案例（契合本项目教育业态定位）。</w:t>
      </w:r>
    </w:p>
    <w:p w14:paraId="05B4A7C7">
      <w:pPr>
        <w:pStyle w:val="9"/>
        <w:keepNext w:val="0"/>
        <w:keepLines w:val="0"/>
        <w:pageBreakBefore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宋体" w:hAnsi="宋体" w:eastAsia="宋体" w:cs="Tahoma"/>
          <w:b w:val="0"/>
          <w:bCs w:val="0"/>
          <w:color w:val="auto"/>
          <w:sz w:val="24"/>
          <w:szCs w:val="24"/>
          <w:highlight w:val="none"/>
          <w:lang w:val="en-US" w:eastAsia="zh-CN"/>
        </w:rPr>
      </w:pPr>
      <w:r>
        <w:rPr>
          <w:rFonts w:hint="eastAsia" w:ascii="东文宋体" w:hAnsi="东文宋体" w:eastAsia="东文宋体" w:cs="东文宋体"/>
          <w:b w:val="0"/>
          <w:bCs w:val="0"/>
          <w:color w:val="auto"/>
          <w:sz w:val="24"/>
          <w:szCs w:val="24"/>
          <w:highlight w:val="none"/>
          <w:lang w:val="en-US" w:eastAsia="zh-CN"/>
        </w:rPr>
        <w:t>③</w:t>
      </w:r>
      <w:r>
        <w:rPr>
          <w:rFonts w:hint="eastAsia" w:ascii="宋体" w:hAnsi="宋体" w:cs="Tahoma"/>
          <w:b w:val="0"/>
          <w:bCs w:val="0"/>
          <w:color w:val="auto"/>
          <w:sz w:val="24"/>
          <w:szCs w:val="24"/>
          <w:highlight w:val="none"/>
          <w:lang w:val="en-US" w:eastAsia="zh-CN"/>
        </w:rPr>
        <w:t>竞买人近三年主营业务收入不低于3400万元/年，其中净利润不低于1700万元/年（以近三年经审计过的审计报告为准）。</w:t>
      </w:r>
    </w:p>
    <w:p w14:paraId="0890E165">
      <w:pPr>
        <w:pStyle w:val="9"/>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任何不良诚信记录与重大失信记录；②、有干扰委托人正常招租，无理取闹行为的</w:t>
      </w:r>
      <w:r>
        <w:rPr>
          <w:rFonts w:hint="eastAsia" w:ascii="宋体" w:hAnsi="宋体" w:cs="宋体"/>
          <w:bCs/>
          <w:color w:val="auto"/>
          <w:sz w:val="24"/>
          <w:lang w:val="en-US" w:eastAsia="zh-CN"/>
        </w:rPr>
        <w:t>。</w:t>
      </w:r>
    </w:p>
    <w:p w14:paraId="4838E4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default"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9B7F77E">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B681A3B">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8E5933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3A06DDD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D805BE7">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30B79EE">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4A4197CC">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76E0A328">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886AA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6B812D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3260B4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6E756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27C0949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5F7C119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170F207">
      <w:pPr>
        <w:pStyle w:val="10"/>
        <w:keepNext w:val="0"/>
        <w:keepLines w:val="0"/>
        <w:pageBreakBefore w:val="0"/>
        <w:widowControl/>
        <w:shd w:val="clear" w:color="auto" w:fill="FFFFFF"/>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sz w:val="24"/>
          <w:highlight w:val="none"/>
        </w:rPr>
        <w:t>买受人应于成交之日起</w:t>
      </w:r>
      <w:r>
        <w:rPr>
          <w:rFonts w:hint="eastAsia"/>
          <w:sz w:val="24"/>
          <w:highlight w:val="none"/>
          <w:lang w:val="en-US" w:eastAsia="zh-CN"/>
        </w:rPr>
        <w:t>20个工作日内与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签订《租赁合同》，并在</w:t>
      </w:r>
      <w:r>
        <w:rPr>
          <w:rFonts w:hint="eastAsia"/>
          <w:bCs/>
          <w:sz w:val="24"/>
          <w:highlight w:val="none"/>
        </w:rPr>
        <w:t>租赁合同签订之日起</w:t>
      </w:r>
      <w:r>
        <w:rPr>
          <w:rFonts w:hint="eastAsia"/>
          <w:bCs/>
          <w:sz w:val="24"/>
          <w:highlight w:val="none"/>
          <w:lang w:val="en-US" w:eastAsia="zh-CN"/>
        </w:rPr>
        <w:t>30</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一年</w:t>
      </w:r>
      <w:r>
        <w:rPr>
          <w:rFonts w:hint="eastAsia" w:ascii="宋体" w:hAnsi="宋体" w:eastAsia="宋体" w:cs="宋体"/>
          <w:kern w:val="0"/>
          <w:sz w:val="24"/>
          <w:szCs w:val="24"/>
        </w:rPr>
        <w:t>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指定帐户：宁波市镇海蛟川城市更新开发建设有限公司，开户银行：中国银行开发区支行，账号：396181769716</w:t>
      </w:r>
      <w:r>
        <w:rPr>
          <w:rFonts w:hint="eastAsia" w:ascii="宋体" w:hAnsi="宋体" w:eastAsia="宋体" w:cs="宋体"/>
          <w:b/>
          <w:bCs/>
          <w:spacing w:val="-4"/>
          <w:sz w:val="24"/>
          <w:szCs w:val="24"/>
          <w:lang w:eastAsia="zh-CN"/>
        </w:rPr>
        <w:t>。</w:t>
      </w:r>
    </w:p>
    <w:p w14:paraId="65A76563">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封顶5万元）</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A7CAE8D">
      <w:pPr>
        <w:pStyle w:val="11"/>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73B446E">
      <w:pPr>
        <w:pStyle w:val="11"/>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548EFA30">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94DA120">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C10328A">
      <w:pPr>
        <w:keepNext w:val="0"/>
        <w:keepLines w:val="0"/>
        <w:pageBreakBefore w:val="0"/>
        <w:kinsoku/>
        <w:wordWrap/>
        <w:overflowPunct/>
        <w:topLinePunct w:val="0"/>
        <w:autoSpaceDE/>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05E9B7A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DB893B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E6D04B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7B720E78">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0E6EB12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405AB45">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554FDDC">
      <w:pPr>
        <w:pStyle w:val="11"/>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842605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784F26">
      <w:pPr>
        <w:pStyle w:val="11"/>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39D8C7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E7135BB">
      <w:pPr>
        <w:pStyle w:val="5"/>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6AA8968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0F85E4F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D6DEAD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D87A4D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39FBAA2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71863F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1E801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5BC7514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2ED8C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D2FA96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98B4B16">
      <w:pPr>
        <w:pStyle w:val="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9051C0">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ADCA0B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23B49EB">
      <w:pPr>
        <w:keepNext w:val="0"/>
        <w:keepLines w:val="0"/>
        <w:pageBreakBefore w:val="0"/>
        <w:kinsoku/>
        <w:wordWrap/>
        <w:overflowPunct/>
        <w:topLinePunct w:val="0"/>
        <w:autoSpaceDE/>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D23164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附件：《租赁合同》</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lang w:val="en-US" w:eastAsia="zh-CN"/>
        </w:rPr>
        <w:t>租赁物安全使用及消防责任告知书》</w:t>
      </w:r>
    </w:p>
    <w:p w14:paraId="63413482">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05D4C54">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00DB503A">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5342ED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镇海区ZH03-01-09-02地块建设项目租赁合同</w:t>
      </w:r>
    </w:p>
    <w:p w14:paraId="67C2D7D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95EED3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78C9B3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年</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月</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日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2EB25C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4F153A9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378A9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sz w:val="32"/>
          <w:szCs w:val="32"/>
          <w:lang w:val="en-US" w:eastAsia="zh-CN"/>
        </w:rPr>
      </w:pPr>
    </w:p>
    <w:p w14:paraId="39E6944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default" w:ascii="仿宋_GB2312" w:hAnsi="仿宋_GB2312" w:eastAsia="仿宋_GB2312" w:cs="仿宋_GB2312"/>
          <w:b w:val="0"/>
          <w:bCs/>
          <w:sz w:val="32"/>
          <w:szCs w:val="32"/>
          <w:u w:val="single"/>
          <w:lang w:val="en-US" w:eastAsia="zh-CN"/>
        </w:rPr>
      </w:pPr>
      <w:r>
        <w:rPr>
          <w:rFonts w:hint="eastAsia" w:ascii="仿宋_GB2312" w:hAnsi="仿宋_GB2312" w:eastAsia="仿宋_GB2312" w:cs="仿宋_GB2312"/>
          <w:b/>
          <w:sz w:val="32"/>
          <w:szCs w:val="32"/>
        </w:rPr>
        <w:t>甲方（出租方）：</w:t>
      </w:r>
      <w:r>
        <w:rPr>
          <w:rFonts w:hint="eastAsia" w:ascii="仿宋_GB2312" w:hAnsi="仿宋_GB2312" w:eastAsia="仿宋_GB2312" w:cs="仿宋_GB2312"/>
          <w:b w:val="0"/>
          <w:bCs/>
          <w:sz w:val="32"/>
          <w:szCs w:val="32"/>
          <w:u w:val="single"/>
          <w:lang w:val="en-US" w:eastAsia="zh-CN"/>
        </w:rPr>
        <w:t xml:space="preserve">                                     </w:t>
      </w:r>
    </w:p>
    <w:p w14:paraId="30301E7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7888A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858D14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6423755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88993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750E95C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0F525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BDE44C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388F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p>
    <w:p w14:paraId="7862DEA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【友好协商】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镇海区ZH03-01-09-02地块建设项目</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事宜，特订立本合同，以兹共同信守。</w:t>
      </w:r>
    </w:p>
    <w:p w14:paraId="3D684E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8D3EE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598A2C8">
      <w:pPr>
        <w:keepNext w:val="0"/>
        <w:keepLines w:val="0"/>
        <w:pageBreakBefore w:val="0"/>
        <w:kinsoku/>
        <w:wordWrap/>
        <w:overflowPunct/>
        <w:topLinePunct w:val="0"/>
        <w:autoSpaceDE/>
        <w:autoSpaceDN/>
        <w:bidi w:val="0"/>
        <w:adjustRightInd/>
        <w:snapToGrid/>
        <w:spacing w:line="620" w:lineRule="exact"/>
        <w:ind w:left="3296" w:leftChars="284" w:hanging="2700" w:hangingChars="900"/>
        <w:textAlignment w:val="auto"/>
        <w:rPr>
          <w:rFonts w:hint="default"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rPr>
        <w:t>1.2租赁物面积：</w:t>
      </w:r>
    </w:p>
    <w:p w14:paraId="3E9A98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p>
    <w:p w14:paraId="4AA26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3A429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default"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p>
    <w:p w14:paraId="108CFC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359F4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4B84E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B52138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highlight w:val="none"/>
        </w:rPr>
      </w:pPr>
      <w:r>
        <w:rPr>
          <w:rFonts w:hint="eastAsia" w:ascii="仿宋_GB2312" w:hAnsi="仿宋_GB2312" w:eastAsia="仿宋_GB2312" w:cs="仿宋_GB2312"/>
          <w:b/>
          <w:sz w:val="30"/>
          <w:szCs w:val="30"/>
          <w:highlight w:val="none"/>
        </w:rPr>
        <w:t>第三条 租金及支付</w:t>
      </w:r>
    </w:p>
    <w:p w14:paraId="3392B9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highlight w:val="none"/>
        </w:rPr>
        <w:t>3.1租赁期限内，年租金含税</w:t>
      </w:r>
      <w:r>
        <w:rPr>
          <w:rFonts w:hint="eastAsia" w:ascii="仿宋_GB2312" w:hAnsi="仿宋_GB2312" w:eastAsia="仿宋_GB2312" w:cs="仿宋_GB2312"/>
          <w:sz w:val="30"/>
          <w:szCs w:val="30"/>
          <w:highlight w:val="none"/>
          <w:lang w:eastAsia="zh-CN"/>
        </w:rPr>
        <w:t>价</w:t>
      </w:r>
      <w:r>
        <w:rPr>
          <w:rFonts w:hint="eastAsia" w:ascii="仿宋_GB2312" w:hAnsi="仿宋_GB2312" w:eastAsia="仿宋_GB2312" w:cs="仿宋_GB2312"/>
          <w:sz w:val="30"/>
          <w:szCs w:val="30"/>
          <w:highlight w:val="none"/>
        </w:rPr>
        <w:t>为</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u w:val="single"/>
          <w:lang w:val="en-US" w:eastAsia="zh-CN"/>
        </w:rPr>
        <w:t>万元</w:t>
      </w:r>
      <w:r>
        <w:rPr>
          <w:rFonts w:hint="eastAsia" w:ascii="仿宋_GB2312" w:hAnsi="仿宋_GB2312" w:eastAsia="仿宋_GB2312" w:cs="仿宋_GB2312"/>
          <w:color w:val="auto"/>
          <w:sz w:val="30"/>
          <w:szCs w:val="30"/>
          <w:highlight w:val="none"/>
        </w:rPr>
        <w:t>(大写：</w:t>
      </w:r>
      <w:r>
        <w:rPr>
          <w:rFonts w:hint="eastAsia" w:ascii="仿宋_GB2312" w:hAnsi="仿宋_GB2312" w:eastAsia="仿宋_GB2312" w:cs="仿宋_GB2312"/>
          <w:color w:val="auto"/>
          <w:sz w:val="30"/>
          <w:szCs w:val="30"/>
          <w:highlight w:val="none"/>
          <w:u w:val="single"/>
        </w:rPr>
        <w:t xml:space="preserve"> </w:t>
      </w:r>
      <w:r>
        <w:rPr>
          <w:rFonts w:hint="eastAsia" w:ascii="仿宋_GB2312" w:hAnsi="仿宋_GB2312" w:eastAsia="仿宋_GB2312" w:cs="仿宋_GB2312"/>
          <w:color w:val="auto"/>
          <w:sz w:val="30"/>
          <w:szCs w:val="30"/>
          <w:highlight w:val="none"/>
          <w:u w:val="single"/>
          <w:lang w:val="en-US" w:eastAsia="zh-CN"/>
        </w:rPr>
        <w:t xml:space="preserve">  </w:t>
      </w:r>
      <w:r>
        <w:rPr>
          <w:rFonts w:hint="eastAsia" w:ascii="仿宋_GB2312" w:hAnsi="仿宋_GB2312" w:eastAsia="仿宋_GB2312" w:cs="仿宋_GB2312"/>
          <w:color w:val="auto"/>
          <w:sz w:val="30"/>
          <w:szCs w:val="30"/>
          <w:highlight w:val="none"/>
          <w:u w:val="single"/>
          <w:lang w:eastAsia="zh-CN"/>
        </w:rPr>
        <w:t>万</w:t>
      </w:r>
      <w:r>
        <w:rPr>
          <w:rFonts w:hint="eastAsia" w:ascii="仿宋_GB2312" w:hAnsi="仿宋_GB2312" w:eastAsia="仿宋_GB2312" w:cs="仿宋_GB2312"/>
          <w:color w:val="auto"/>
          <w:sz w:val="30"/>
          <w:szCs w:val="30"/>
          <w:highlight w:val="none"/>
          <w:u w:val="single"/>
        </w:rPr>
        <w:t>元整)</w:t>
      </w:r>
      <w:r>
        <w:rPr>
          <w:rFonts w:hint="eastAsia" w:ascii="仿宋_GB2312" w:hAnsi="仿宋_GB2312" w:eastAsia="仿宋_GB2312" w:cs="仿宋_GB2312"/>
          <w:sz w:val="30"/>
          <w:szCs w:val="30"/>
          <w:highlight w:val="none"/>
          <w:lang w:val="en-US" w:eastAsia="zh-CN"/>
        </w:rPr>
        <w:t>。甲</w:t>
      </w:r>
      <w:r>
        <w:rPr>
          <w:rFonts w:hint="eastAsia" w:ascii="仿宋_GB2312" w:hAnsi="仿宋_GB2312" w:eastAsia="仿宋_GB2312" w:cs="仿宋_GB2312"/>
          <w:sz w:val="30"/>
          <w:szCs w:val="30"/>
          <w:highlight w:val="none"/>
          <w:lang w:eastAsia="zh-CN"/>
        </w:rPr>
        <w:t>乙方按照下列</w:t>
      </w:r>
      <w:r>
        <w:rPr>
          <w:rFonts w:hint="eastAsia" w:ascii="仿宋_GB2312" w:hAnsi="仿宋_GB2312" w:eastAsia="仿宋_GB2312" w:cs="仿宋_GB2312"/>
          <w:color w:val="auto"/>
          <w:sz w:val="30"/>
          <w:szCs w:val="30"/>
          <w:highlight w:val="none"/>
        </w:rPr>
        <w:t>租金标准及期限向甲方支付租金：</w:t>
      </w:r>
    </w:p>
    <w:tbl>
      <w:tblPr>
        <w:tblStyle w:val="13"/>
        <w:tblW w:w="83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2"/>
        <w:gridCol w:w="2686"/>
        <w:gridCol w:w="3311"/>
      </w:tblGrid>
      <w:tr w14:paraId="5E130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3" w:hRule="atLeast"/>
        </w:trPr>
        <w:tc>
          <w:tcPr>
            <w:tcW w:w="2362" w:type="dxa"/>
            <w:vAlign w:val="top"/>
          </w:tcPr>
          <w:p w14:paraId="20DF8D65">
            <w:pPr>
              <w:pStyle w:val="12"/>
              <w:spacing w:before="223" w:line="219" w:lineRule="auto"/>
              <w:ind w:left="809"/>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b/>
                <w:bCs/>
                <w:color w:val="304050"/>
                <w:spacing w:val="-1"/>
                <w:sz w:val="30"/>
                <w:szCs w:val="30"/>
                <w:highlight w:val="none"/>
              </w:rPr>
              <w:t>租赁年度</w:t>
            </w:r>
          </w:p>
        </w:tc>
        <w:tc>
          <w:tcPr>
            <w:tcW w:w="2686" w:type="dxa"/>
            <w:vAlign w:val="top"/>
          </w:tcPr>
          <w:p w14:paraId="6598D5D7">
            <w:pPr>
              <w:pStyle w:val="12"/>
              <w:spacing w:before="213" w:line="219" w:lineRule="auto"/>
              <w:ind w:left="697"/>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b/>
                <w:bCs/>
                <w:color w:val="303040"/>
                <w:spacing w:val="2"/>
                <w:sz w:val="30"/>
                <w:szCs w:val="30"/>
                <w:highlight w:val="none"/>
              </w:rPr>
              <w:t>支付时间</w:t>
            </w:r>
          </w:p>
        </w:tc>
        <w:tc>
          <w:tcPr>
            <w:tcW w:w="3311" w:type="dxa"/>
            <w:vAlign w:val="top"/>
          </w:tcPr>
          <w:p w14:paraId="14105DC7">
            <w:pPr>
              <w:pStyle w:val="12"/>
              <w:spacing w:before="211" w:line="219" w:lineRule="auto"/>
              <w:ind w:left="0" w:right="15"/>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b/>
                <w:bCs/>
                <w:color w:val="203040"/>
                <w:spacing w:val="-8"/>
                <w:sz w:val="30"/>
                <w:szCs w:val="30"/>
                <w:highlight w:val="none"/>
              </w:rPr>
              <w:t>租金金额(人民币·</w:t>
            </w:r>
            <w:r>
              <w:rPr>
                <w:rFonts w:hint="eastAsia" w:ascii="方正仿宋_GB2312" w:hAnsi="方正仿宋_GB2312" w:eastAsia="方正仿宋_GB2312" w:cs="方正仿宋_GB2312"/>
                <w:b/>
                <w:bCs/>
                <w:color w:val="204040"/>
                <w:spacing w:val="-8"/>
                <w:sz w:val="30"/>
                <w:szCs w:val="30"/>
                <w:highlight w:val="none"/>
              </w:rPr>
              <w:t>万</w:t>
            </w:r>
            <w:r>
              <w:rPr>
                <w:rFonts w:hint="eastAsia" w:ascii="方正仿宋_GB2312" w:hAnsi="方正仿宋_GB2312" w:eastAsia="方正仿宋_GB2312" w:cs="方正仿宋_GB2312"/>
                <w:b/>
                <w:bCs/>
                <w:spacing w:val="-11"/>
                <w:sz w:val="30"/>
                <w:szCs w:val="30"/>
                <w:highlight w:val="none"/>
              </w:rPr>
              <w:t>元</w:t>
            </w:r>
            <w:r>
              <w:rPr>
                <w:rFonts w:hint="eastAsia" w:ascii="方正仿宋_GB2312" w:hAnsi="方正仿宋_GB2312" w:eastAsia="方正仿宋_GB2312" w:cs="方正仿宋_GB2312"/>
                <w:spacing w:val="-71"/>
                <w:sz w:val="30"/>
                <w:szCs w:val="30"/>
                <w:highlight w:val="none"/>
              </w:rPr>
              <w:t xml:space="preserve"> </w:t>
            </w:r>
            <w:r>
              <w:rPr>
                <w:rFonts w:hint="eastAsia" w:ascii="方正仿宋_GB2312" w:hAnsi="方正仿宋_GB2312" w:eastAsia="方正仿宋_GB2312" w:cs="方正仿宋_GB2312"/>
                <w:b/>
                <w:bCs/>
                <w:spacing w:val="-11"/>
                <w:sz w:val="30"/>
                <w:szCs w:val="30"/>
                <w:highlight w:val="none"/>
              </w:rPr>
              <w:t>)</w:t>
            </w:r>
          </w:p>
        </w:tc>
      </w:tr>
      <w:tr w14:paraId="5C032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2362" w:type="dxa"/>
            <w:vAlign w:val="top"/>
          </w:tcPr>
          <w:p w14:paraId="02A371DB">
            <w:pPr>
              <w:pStyle w:val="12"/>
              <w:spacing w:before="245" w:line="216" w:lineRule="auto"/>
              <w:ind w:left="694"/>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color w:val="203040"/>
                <w:spacing w:val="7"/>
                <w:sz w:val="30"/>
                <w:szCs w:val="30"/>
                <w:highlight w:val="none"/>
              </w:rPr>
              <w:t>第一期</w:t>
            </w:r>
          </w:p>
        </w:tc>
        <w:tc>
          <w:tcPr>
            <w:tcW w:w="2686" w:type="dxa"/>
            <w:vAlign w:val="top"/>
          </w:tcPr>
          <w:p w14:paraId="4FBADD2C">
            <w:pPr>
              <w:pStyle w:val="12"/>
              <w:spacing w:before="235" w:line="219" w:lineRule="auto"/>
              <w:ind w:left="292"/>
              <w:rPr>
                <w:rFonts w:hint="eastAsia" w:ascii="方正仿宋_GB2312" w:hAnsi="方正仿宋_GB2312" w:eastAsia="方正仿宋_GB2312" w:cs="方正仿宋_GB2312"/>
                <w:sz w:val="30"/>
                <w:szCs w:val="30"/>
                <w:highlight w:val="none"/>
              </w:rPr>
            </w:pPr>
          </w:p>
        </w:tc>
        <w:tc>
          <w:tcPr>
            <w:tcW w:w="3311" w:type="dxa"/>
            <w:vAlign w:val="top"/>
          </w:tcPr>
          <w:p w14:paraId="417A43DF">
            <w:pPr>
              <w:pStyle w:val="12"/>
              <w:spacing w:before="276" w:line="198" w:lineRule="auto"/>
              <w:ind w:left="1326"/>
              <w:rPr>
                <w:rFonts w:hint="eastAsia" w:ascii="方正仿宋_GB2312" w:hAnsi="方正仿宋_GB2312" w:eastAsia="方正仿宋_GB2312" w:cs="方正仿宋_GB2312"/>
                <w:sz w:val="30"/>
                <w:szCs w:val="30"/>
                <w:highlight w:val="none"/>
              </w:rPr>
            </w:pPr>
          </w:p>
        </w:tc>
      </w:tr>
      <w:tr w14:paraId="6F20E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362" w:type="dxa"/>
            <w:vAlign w:val="top"/>
          </w:tcPr>
          <w:p w14:paraId="5C3112AD">
            <w:pPr>
              <w:pStyle w:val="12"/>
              <w:spacing w:before="225" w:line="219" w:lineRule="auto"/>
              <w:ind w:left="694"/>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pacing w:val="7"/>
                <w:sz w:val="30"/>
                <w:szCs w:val="30"/>
                <w:highlight w:val="none"/>
              </w:rPr>
              <w:t>第二期</w:t>
            </w:r>
          </w:p>
        </w:tc>
        <w:tc>
          <w:tcPr>
            <w:tcW w:w="2686" w:type="dxa"/>
            <w:vAlign w:val="top"/>
          </w:tcPr>
          <w:p w14:paraId="78A722C6">
            <w:pPr>
              <w:pStyle w:val="12"/>
              <w:spacing w:before="245" w:line="210" w:lineRule="auto"/>
              <w:ind w:left="292"/>
              <w:rPr>
                <w:rFonts w:hint="eastAsia" w:ascii="方正仿宋_GB2312" w:hAnsi="方正仿宋_GB2312" w:eastAsia="方正仿宋_GB2312" w:cs="方正仿宋_GB2312"/>
                <w:sz w:val="30"/>
                <w:szCs w:val="30"/>
                <w:highlight w:val="none"/>
              </w:rPr>
            </w:pPr>
          </w:p>
        </w:tc>
        <w:tc>
          <w:tcPr>
            <w:tcW w:w="3311" w:type="dxa"/>
            <w:vAlign w:val="top"/>
          </w:tcPr>
          <w:p w14:paraId="2EB52522">
            <w:pPr>
              <w:pStyle w:val="12"/>
              <w:spacing w:before="257" w:line="203" w:lineRule="auto"/>
              <w:ind w:left="1326"/>
              <w:rPr>
                <w:rFonts w:hint="eastAsia" w:ascii="方正仿宋_GB2312" w:hAnsi="方正仿宋_GB2312" w:eastAsia="方正仿宋_GB2312" w:cs="方正仿宋_GB2312"/>
                <w:sz w:val="30"/>
                <w:szCs w:val="30"/>
                <w:highlight w:val="none"/>
              </w:rPr>
            </w:pPr>
          </w:p>
        </w:tc>
      </w:tr>
      <w:tr w14:paraId="3A16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2362" w:type="dxa"/>
            <w:vAlign w:val="top"/>
          </w:tcPr>
          <w:p w14:paraId="6AADC925">
            <w:pPr>
              <w:pStyle w:val="12"/>
              <w:spacing w:before="236" w:line="215" w:lineRule="auto"/>
              <w:ind w:left="694"/>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pacing w:val="7"/>
                <w:sz w:val="30"/>
                <w:szCs w:val="30"/>
                <w:highlight w:val="none"/>
              </w:rPr>
              <w:t>第三期</w:t>
            </w:r>
          </w:p>
        </w:tc>
        <w:tc>
          <w:tcPr>
            <w:tcW w:w="2686" w:type="dxa"/>
            <w:vAlign w:val="top"/>
          </w:tcPr>
          <w:p w14:paraId="4B7B266E">
            <w:pPr>
              <w:pStyle w:val="12"/>
              <w:spacing w:before="255" w:line="204" w:lineRule="auto"/>
              <w:ind w:left="292"/>
              <w:rPr>
                <w:rFonts w:hint="eastAsia" w:ascii="方正仿宋_GB2312" w:hAnsi="方正仿宋_GB2312" w:eastAsia="方正仿宋_GB2312" w:cs="方正仿宋_GB2312"/>
                <w:sz w:val="30"/>
                <w:szCs w:val="30"/>
                <w:highlight w:val="none"/>
              </w:rPr>
            </w:pPr>
          </w:p>
        </w:tc>
        <w:tc>
          <w:tcPr>
            <w:tcW w:w="3311" w:type="dxa"/>
            <w:vAlign w:val="top"/>
          </w:tcPr>
          <w:p w14:paraId="5FF74AAE">
            <w:pPr>
              <w:pStyle w:val="12"/>
              <w:spacing w:before="267" w:line="197" w:lineRule="auto"/>
              <w:ind w:left="1326"/>
              <w:rPr>
                <w:rFonts w:hint="eastAsia" w:ascii="方正仿宋_GB2312" w:hAnsi="方正仿宋_GB2312" w:eastAsia="方正仿宋_GB2312" w:cs="方正仿宋_GB2312"/>
                <w:sz w:val="30"/>
                <w:szCs w:val="30"/>
                <w:highlight w:val="none"/>
              </w:rPr>
            </w:pPr>
          </w:p>
        </w:tc>
      </w:tr>
      <w:tr w14:paraId="33AFA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362" w:type="dxa"/>
            <w:vAlign w:val="top"/>
          </w:tcPr>
          <w:p w14:paraId="3F81D1D5">
            <w:pPr>
              <w:pStyle w:val="12"/>
              <w:spacing w:before="236" w:line="209" w:lineRule="auto"/>
              <w:ind w:left="694"/>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pacing w:val="7"/>
                <w:sz w:val="30"/>
                <w:szCs w:val="30"/>
                <w:highlight w:val="none"/>
              </w:rPr>
              <w:t>第四期</w:t>
            </w:r>
          </w:p>
        </w:tc>
        <w:tc>
          <w:tcPr>
            <w:tcW w:w="2686" w:type="dxa"/>
            <w:vAlign w:val="top"/>
          </w:tcPr>
          <w:p w14:paraId="54444DF7">
            <w:pPr>
              <w:pStyle w:val="12"/>
              <w:spacing w:before="236" w:line="209" w:lineRule="auto"/>
              <w:ind w:left="292"/>
              <w:rPr>
                <w:rFonts w:hint="eastAsia" w:ascii="方正仿宋_GB2312" w:hAnsi="方正仿宋_GB2312" w:eastAsia="方正仿宋_GB2312" w:cs="方正仿宋_GB2312"/>
                <w:sz w:val="30"/>
                <w:szCs w:val="30"/>
                <w:highlight w:val="none"/>
              </w:rPr>
            </w:pPr>
          </w:p>
        </w:tc>
        <w:tc>
          <w:tcPr>
            <w:tcW w:w="3311" w:type="dxa"/>
            <w:vAlign w:val="top"/>
          </w:tcPr>
          <w:p w14:paraId="4F770ADC">
            <w:pPr>
              <w:pStyle w:val="12"/>
              <w:spacing w:before="269" w:line="190" w:lineRule="auto"/>
              <w:ind w:left="1406"/>
              <w:rPr>
                <w:rFonts w:hint="eastAsia" w:ascii="方正仿宋_GB2312" w:hAnsi="方正仿宋_GB2312" w:eastAsia="方正仿宋_GB2312" w:cs="方正仿宋_GB2312"/>
                <w:sz w:val="30"/>
                <w:szCs w:val="30"/>
                <w:highlight w:val="none"/>
                <w:lang w:val="en-US" w:eastAsia="zh-CN"/>
              </w:rPr>
            </w:pPr>
          </w:p>
        </w:tc>
      </w:tr>
      <w:tr w14:paraId="2A27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62" w:type="dxa"/>
            <w:vAlign w:val="top"/>
          </w:tcPr>
          <w:p w14:paraId="5B706EA9">
            <w:pPr>
              <w:pStyle w:val="12"/>
              <w:spacing w:before="238" w:line="219" w:lineRule="auto"/>
              <w:ind w:left="694"/>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pacing w:val="7"/>
                <w:sz w:val="30"/>
                <w:szCs w:val="30"/>
                <w:highlight w:val="none"/>
              </w:rPr>
              <w:t>第五期</w:t>
            </w:r>
          </w:p>
        </w:tc>
        <w:tc>
          <w:tcPr>
            <w:tcW w:w="2686" w:type="dxa"/>
            <w:vAlign w:val="top"/>
          </w:tcPr>
          <w:p w14:paraId="11E000A0">
            <w:pPr>
              <w:pStyle w:val="12"/>
              <w:spacing w:before="258" w:line="208" w:lineRule="auto"/>
              <w:ind w:left="292"/>
              <w:rPr>
                <w:rFonts w:hint="eastAsia" w:ascii="方正仿宋_GB2312" w:hAnsi="方正仿宋_GB2312" w:eastAsia="方正仿宋_GB2312" w:cs="方正仿宋_GB2312"/>
                <w:sz w:val="30"/>
                <w:szCs w:val="30"/>
                <w:highlight w:val="none"/>
              </w:rPr>
            </w:pPr>
          </w:p>
        </w:tc>
        <w:tc>
          <w:tcPr>
            <w:tcW w:w="3311" w:type="dxa"/>
            <w:vAlign w:val="top"/>
          </w:tcPr>
          <w:p w14:paraId="6B25830B">
            <w:pPr>
              <w:pStyle w:val="12"/>
              <w:spacing w:before="279" w:line="196" w:lineRule="auto"/>
              <w:ind w:left="1406"/>
              <w:rPr>
                <w:rFonts w:hint="eastAsia" w:ascii="方正仿宋_GB2312" w:hAnsi="方正仿宋_GB2312" w:eastAsia="方正仿宋_GB2312" w:cs="方正仿宋_GB2312"/>
                <w:sz w:val="30"/>
                <w:szCs w:val="30"/>
                <w:highlight w:val="none"/>
                <w:lang w:val="en-US" w:eastAsia="zh-CN"/>
              </w:rPr>
            </w:pPr>
          </w:p>
        </w:tc>
      </w:tr>
    </w:tbl>
    <w:p w14:paraId="5E5DDF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yellow"/>
        </w:rPr>
      </w:pPr>
    </w:p>
    <w:p w14:paraId="730822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3227A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BE971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lang w:val="en-US" w:eastAsia="zh-CN"/>
        </w:rPr>
        <w:t xml:space="preserve">   </w:t>
      </w:r>
    </w:p>
    <w:p w14:paraId="7C19D02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132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highlight w:val="yellow"/>
          <w:u w:val="single"/>
        </w:rPr>
        <w:t xml:space="preserve"> </w:t>
      </w:r>
      <w:r>
        <w:rPr>
          <w:rFonts w:hint="eastAsia" w:ascii="仿宋_GB2312" w:hAnsi="仿宋_GB2312" w:eastAsia="仿宋_GB2312" w:cs="仿宋_GB2312"/>
          <w:sz w:val="30"/>
          <w:szCs w:val="30"/>
          <w:highlight w:val="yellow"/>
          <w:u w:val="single"/>
          <w:lang w:val="en-US" w:eastAsia="zh-CN"/>
        </w:rPr>
        <w:t>9</w:t>
      </w:r>
      <w:r>
        <w:rPr>
          <w:rFonts w:hint="eastAsia" w:ascii="仿宋_GB2312" w:hAnsi="仿宋_GB2312" w:eastAsia="仿宋_GB2312" w:cs="仿宋_GB2312"/>
          <w:sz w:val="30"/>
          <w:szCs w:val="30"/>
          <w:highlight w:val="yellow"/>
          <w:u w:val="single"/>
        </w:rPr>
        <w:t xml:space="preserve"> </w:t>
      </w:r>
      <w:r>
        <w:rPr>
          <w:rFonts w:hint="eastAsia" w:ascii="仿宋_GB2312" w:hAnsi="仿宋_GB2312" w:eastAsia="仿宋_GB2312" w:cs="仿宋_GB2312"/>
          <w:sz w:val="30"/>
          <w:szCs w:val="30"/>
          <w:highlight w:val="yellow"/>
        </w:rPr>
        <w:t>%</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8DBD1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C225D2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8441D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水费、电费、通讯及网络费用、</w:t>
      </w:r>
      <w:r>
        <w:rPr>
          <w:rFonts w:hint="eastAsia" w:ascii="仿宋_GB2312" w:hAnsi="仿宋_GB2312" w:eastAsia="仿宋_GB2312" w:cs="仿宋_GB2312"/>
          <w:sz w:val="30"/>
          <w:szCs w:val="30"/>
        </w:rPr>
        <w:t>物业管理费</w:t>
      </w:r>
      <w:r>
        <w:rPr>
          <w:rFonts w:hint="eastAsia" w:ascii="仿宋_GB2312" w:hAnsi="仿宋_GB2312" w:eastAsia="仿宋_GB2312" w:cs="仿宋_GB2312"/>
          <w:sz w:val="30"/>
          <w:szCs w:val="30"/>
          <w:lang w:eastAsia="zh-CN"/>
        </w:rPr>
        <w:t>【如有】、以及</w:t>
      </w:r>
      <w:r>
        <w:rPr>
          <w:rFonts w:hint="eastAsia" w:ascii="仿宋_GB2312" w:hAnsi="仿宋_GB2312" w:eastAsia="仿宋_GB2312" w:cs="仿宋_GB2312"/>
          <w:sz w:val="30"/>
          <w:szCs w:val="30"/>
        </w:rPr>
        <w:t>其他费用（包括但不限于垃圾清运费）等，</w:t>
      </w:r>
      <w:r>
        <w:rPr>
          <w:rFonts w:hint="eastAsia" w:ascii="仿宋_GB2312" w:hAnsi="仿宋_GB2312" w:eastAsia="仿宋_GB2312" w:cs="仿宋_GB2312"/>
          <w:sz w:val="30"/>
          <w:szCs w:val="30"/>
          <w:lang w:eastAsia="zh-CN"/>
        </w:rPr>
        <w:t>均</w:t>
      </w:r>
      <w:r>
        <w:rPr>
          <w:rFonts w:hint="eastAsia" w:ascii="仿宋_GB2312" w:hAnsi="仿宋_GB2312" w:eastAsia="仿宋_GB2312" w:cs="仿宋_GB2312"/>
          <w:sz w:val="30"/>
          <w:szCs w:val="30"/>
        </w:rPr>
        <w:t>由乙方</w:t>
      </w:r>
      <w:r>
        <w:rPr>
          <w:rFonts w:hint="eastAsia" w:ascii="仿宋_GB2312" w:hAnsi="仿宋_GB2312" w:eastAsia="仿宋_GB2312" w:cs="仿宋_GB2312"/>
          <w:sz w:val="30"/>
          <w:szCs w:val="30"/>
          <w:lang w:eastAsia="zh-CN"/>
        </w:rPr>
        <w:t>自行承担。</w:t>
      </w:r>
    </w:p>
    <w:p w14:paraId="00819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4.2 乙方使用的本项目屋顶光伏系统电量，按照0.96元/度的价格向甲方支付相关费用，每月结算一次。</w:t>
      </w:r>
    </w:p>
    <w:p w14:paraId="7916CA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447CC9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8FBE7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日内，乙方向甲方支付不少于</w:t>
      </w:r>
      <w:r>
        <w:rPr>
          <w:rFonts w:hint="eastAsia" w:ascii="仿宋_GB2312" w:hAnsi="仿宋_GB2312" w:eastAsia="仿宋_GB2312" w:cs="仿宋_GB2312"/>
          <w:color w:val="auto"/>
          <w:sz w:val="30"/>
          <w:szCs w:val="30"/>
          <w:lang w:eastAsia="zh-CN"/>
        </w:rPr>
        <w:t>一年</w:t>
      </w:r>
      <w:r>
        <w:rPr>
          <w:rFonts w:hint="eastAsia" w:ascii="仿宋_GB2312" w:hAnsi="仿宋_GB2312" w:eastAsia="仿宋_GB2312" w:cs="仿宋_GB2312"/>
          <w:color w:val="auto"/>
          <w:sz w:val="30"/>
          <w:szCs w:val="30"/>
        </w:rPr>
        <w:t>租金归整</w:t>
      </w:r>
      <w:r>
        <w:rPr>
          <w:rFonts w:hint="eastAsia" w:ascii="仿宋_GB2312" w:hAnsi="仿宋_GB2312" w:eastAsia="仿宋_GB2312" w:cs="仿宋_GB2312"/>
          <w:color w:val="auto"/>
          <w:sz w:val="30"/>
          <w:szCs w:val="30"/>
          <w:lang w:eastAsia="zh-CN"/>
        </w:rPr>
        <w:t>的履约</w:t>
      </w:r>
      <w:r>
        <w:rPr>
          <w:rFonts w:hint="eastAsia" w:ascii="仿宋_GB2312" w:hAnsi="仿宋_GB2312" w:eastAsia="仿宋_GB2312" w:cs="仿宋_GB2312"/>
          <w:color w:val="auto"/>
          <w:sz w:val="30"/>
          <w:szCs w:val="30"/>
        </w:rPr>
        <w:t>保证金</w:t>
      </w:r>
      <w:r>
        <w:rPr>
          <w:rFonts w:hint="eastAsia" w:ascii="仿宋_GB2312" w:hAnsi="仿宋_GB2312" w:eastAsia="仿宋_GB2312" w:cs="仿宋_GB2312"/>
          <w:color w:val="auto"/>
          <w:sz w:val="30"/>
          <w:szCs w:val="30"/>
          <w:lang w:eastAsia="zh-CN"/>
        </w:rPr>
        <w:t>，共计</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w:t>
      </w:r>
    </w:p>
    <w:p w14:paraId="5A7965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D660B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8F75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7E8DCDA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73F55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A1F1E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5E4543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5AF58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3324F5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675C3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7A866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60058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C9145A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D8984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112A3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3FF99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D37C05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60CB5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7D9E7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128934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w:t>
      </w:r>
      <w:r>
        <w:rPr>
          <w:rFonts w:hint="eastAsia" w:ascii="仿宋_GB2312" w:hAnsi="仿宋_GB2312" w:eastAsia="仿宋_GB2312" w:cs="仿宋_GB2312"/>
          <w:sz w:val="30"/>
          <w:szCs w:val="30"/>
          <w:lang w:eastAsia="zh-CN"/>
        </w:rPr>
        <w:t>工程主体结构、装饰装修</w:t>
      </w:r>
      <w:r>
        <w:rPr>
          <w:rFonts w:hint="eastAsia" w:ascii="仿宋_GB2312" w:hAnsi="仿宋_GB2312" w:eastAsia="仿宋_GB2312" w:cs="仿宋_GB2312"/>
          <w:sz w:val="30"/>
          <w:szCs w:val="30"/>
        </w:rPr>
        <w:t>及附属设施设备的日常维修、养护、修缮及更新改造由乙方负责并承担费用（但按照法律法规属于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w:t>
      </w:r>
      <w:r>
        <w:rPr>
          <w:rFonts w:hint="eastAsia" w:ascii="仿宋_GB2312" w:hAnsi="仿宋_GB2312" w:eastAsia="仿宋_GB2312" w:cs="仿宋_GB2312"/>
          <w:sz w:val="30"/>
          <w:szCs w:val="30"/>
          <w:lang w:eastAsia="zh-CN"/>
        </w:rPr>
        <w:t>乙方应</w:t>
      </w:r>
      <w:r>
        <w:rPr>
          <w:rFonts w:hint="eastAsia" w:ascii="仿宋_GB2312" w:hAnsi="仿宋_GB2312" w:eastAsia="仿宋_GB2312" w:cs="仿宋_GB2312"/>
          <w:sz w:val="30"/>
          <w:szCs w:val="30"/>
        </w:rPr>
        <w:t>确保工程主体结构的安全、完整及正常功能运转</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因乙方使用不当或未及时维护维修导致租赁物或附属设施设备损坏的，由乙方依法赔偿。乙方装修改建部分的维修由乙方承担。非由房屋结构性原因发生的各项损失（包含各种原因引起的漏水、墙面渗漏导致的损失）由乙方自行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p>
    <w:p w14:paraId="23E7A8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7005F6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自资产管理权移交完成之日起，乙方即成为本项目资产的唯一实际管理主体。乙方须对移交资产的日常看护、维护保养、合规使用，以及安全生产、消防、治安、环保等一切相关事项承担全面、独立的管理责任。自移交之日起产生的任何风险与法律责任均由乙方自行承担，甲方对此不再承担任何责任。</w:t>
      </w:r>
    </w:p>
    <w:p w14:paraId="52435D9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F7CED26">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0A1CDE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lang w:val="en-US" w:eastAsia="zh-CN"/>
        </w:rPr>
      </w:pPr>
      <w:r>
        <w:rPr>
          <w:rFonts w:hint="eastAsia" w:ascii="仿宋_GB2312" w:hAnsi="仿宋_GB2312" w:eastAsia="仿宋_GB2312" w:cs="仿宋_GB2312"/>
          <w:color w:val="auto"/>
          <w:kern w:val="0"/>
          <w:sz w:val="30"/>
          <w:szCs w:val="30"/>
          <w:highlight w:val="none"/>
          <w:lang w:val="en-US" w:eastAsia="zh-CN"/>
        </w:rPr>
        <w:t>7.15 凡属于本协议约定移交范围内的各类资产，自双方正式移交之日起，其日常管理、使用调配、报废处置、核销及重大使用决策权，同步划转至乙方，乙方每年至少进行一次资产盘点，并将盘点报告报送甲方。乙方在行使上述资产处置与使用决策权时，应严格遵守国家关于国有资产管理的法律法规及甲方的相关管理制度，依法依规履行内部审批及报备程序，确保资产处置及使用的合法性、合规性与合理性，如发生资产报废应及时报备甲方。</w:t>
      </w:r>
    </w:p>
    <w:p w14:paraId="3E6E3B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default" w:ascii="仿宋_GB2312" w:hAnsi="仿宋_GB2312" w:eastAsia="仿宋_GB2312" w:cs="仿宋_GB2312"/>
          <w:color w:val="auto"/>
          <w:kern w:val="0"/>
          <w:sz w:val="30"/>
          <w:szCs w:val="30"/>
          <w:highlight w:val="none"/>
          <w:lang w:val="en-US" w:eastAsia="zh-CN"/>
        </w:rPr>
      </w:pPr>
      <w:r>
        <w:rPr>
          <w:rFonts w:hint="eastAsia" w:ascii="仿宋_GB2312" w:hAnsi="仿宋_GB2312" w:eastAsia="仿宋_GB2312" w:cs="仿宋_GB2312"/>
          <w:color w:val="auto"/>
          <w:kern w:val="0"/>
          <w:sz w:val="30"/>
          <w:szCs w:val="30"/>
          <w:highlight w:val="none"/>
          <w:lang w:val="en-US" w:eastAsia="zh-CN"/>
        </w:rPr>
        <w:t>7.16 本项目涉及的低值易耗品，自移交之日起由乙方全面负责日常管理。乙方应建立健全低值易耗品的内部管理制度，切实履行保管与合理使用义务，严防资产流失。</w:t>
      </w:r>
    </w:p>
    <w:p w14:paraId="5C33357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B03FB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8.1租赁期间乙方可以对租赁物进行适当的装修装饰，乙方的装修方案须向甲方备案，并按规定自行报相关职能部门审批同意后方可施工。</w:t>
      </w:r>
    </w:p>
    <w:p w14:paraId="48C0B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DBE61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345E0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B925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2D299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591D4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p>
    <w:p w14:paraId="2B66CA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7FD4D1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061427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1702A6A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04110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55695D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755D6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C359F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59BDC9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EB49A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03455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7AE0D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因规划调整、重大政策变更、专项工作需要等特殊情形，甲方需收回项目资产管理权的，应提前30日书面告知乙方，双方友好协商办理管理权收回及工作交接事宜。</w:t>
      </w:r>
    </w:p>
    <w:p w14:paraId="0E9F09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C58D37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95A6B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099230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046354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BAE9F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5DDA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277368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52C60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BDA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06562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3CA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F7D207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3D2019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甲方永久保留本项目全部资产产权，享有资产所有权相关权益。</w:t>
      </w:r>
    </w:p>
    <w:p w14:paraId="03F5E8D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u w:val="single"/>
          <w:lang w:val="en-US" w:eastAsia="zh-CN"/>
        </w:rPr>
        <w:t xml:space="preserve">13.2 </w:t>
      </w:r>
      <w:r>
        <w:rPr>
          <w:rFonts w:hint="eastAsia" w:ascii="仿宋_GB2312" w:hAnsi="仿宋_GB2312" w:eastAsia="仿宋_GB2312" w:cs="仿宋_GB2312"/>
          <w:sz w:val="30"/>
          <w:szCs w:val="30"/>
          <w:u w:val="single"/>
        </w:rPr>
        <w:t>双方明确，在涉及本项目工程维修、资产移交、使用管理及财务收支等相关事项的各级审计工作中，乙方负有全面配合义务。</w:t>
      </w:r>
    </w:p>
    <w:p w14:paraId="25D9813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D4B643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2DAAF97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6BB316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747D6B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C811F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6EF1C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AA86E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524640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8811D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16.2.1</w:t>
      </w:r>
      <w:r>
        <w:rPr>
          <w:rFonts w:hint="eastAsia" w:ascii="仿宋_GB2312" w:hAnsi="仿宋_GB2312" w:eastAsia="仿宋_GB2312" w:cs="仿宋_GB2312"/>
          <w:sz w:val="30"/>
          <w:szCs w:val="30"/>
          <w:lang w:eastAsia="zh-CN"/>
        </w:rPr>
        <w:t>租赁物</w:t>
      </w:r>
      <w:r>
        <w:rPr>
          <w:rFonts w:hint="eastAsia" w:ascii="仿宋_GB2312" w:hAnsi="仿宋_GB2312" w:eastAsia="仿宋_GB2312" w:cs="仿宋_GB2312"/>
          <w:sz w:val="30"/>
          <w:szCs w:val="30"/>
        </w:rPr>
        <w:t>安全使用及消防责任告知书</w:t>
      </w:r>
    </w:p>
    <w:p w14:paraId="4E6AFD1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F44D50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陆</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乙双方各执叁份，</w:t>
      </w:r>
      <w:r>
        <w:rPr>
          <w:rFonts w:hint="eastAsia" w:ascii="仿宋_GB2312" w:hAnsi="仿宋_GB2312" w:eastAsia="仿宋_GB2312" w:cs="仿宋_GB2312"/>
          <w:sz w:val="30"/>
          <w:szCs w:val="30"/>
        </w:rPr>
        <w:t>具有同等法律效力。</w:t>
      </w:r>
    </w:p>
    <w:p w14:paraId="6E9CBAC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03C5C7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39DFD749">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ADA20B2">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58B061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38A5C0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B18981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16CBE08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2DCE9B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3E9BD3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4FEC9D61">
      <w:pPr>
        <w:keepNext w:val="0"/>
        <w:keepLines w:val="0"/>
        <w:pageBreakBefore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br w:type="page"/>
      </w:r>
    </w:p>
    <w:p w14:paraId="4233C64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1A999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2"/>
          <w:szCs w:val="32"/>
          <w:highlight w:val="none"/>
        </w:rPr>
        <w:t>租赁物安全使用及消防责任告知书</w:t>
      </w:r>
    </w:p>
    <w:p w14:paraId="121FA69A">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承租人：</w:t>
      </w:r>
    </w:p>
    <w:p w14:paraId="319AA0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BF9689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07B6FD2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4C1CED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5CACE4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03217D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B7C1E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586A112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62ADC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98BF32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EEDF0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717DD7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D4C8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E7B90C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C63A39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3ABB02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02E11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3295D22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E4177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329703D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57DD7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9B2BB9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8187A6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7E0CAF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3A6431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8567BB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06A6F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14FA9F0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8C24C4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A3B24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7775F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301B5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66486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D18BF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0DB3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D1A01FE">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5FADAEAE">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E9CA2D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C7F3C2D">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D0FD09D">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3B1E27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br w:type="page"/>
      </w:r>
    </w:p>
    <w:p w14:paraId="63C73CB3">
      <w:pPr>
        <w:spacing w:before="50" w:after="50" w:line="480" w:lineRule="exact"/>
        <w:jc w:val="both"/>
      </w:pPr>
    </w:p>
    <w:p w14:paraId="0CE1159A">
      <w:bookmarkStart w:id="0" w:name="_GoBack"/>
      <w:bookmarkEnd w:id="0"/>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7039B">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10</w:t>
    </w:r>
    <w:r>
      <w:fldChar w:fldCharType="end"/>
    </w:r>
  </w:p>
  <w:p w14:paraId="6DB2132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5E4CE">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14FC877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2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left="1"/>
    </w:pPr>
    <w:rPr>
      <w:sz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qFormat/>
    <w:uiPriority w:val="0"/>
    <w:pPr>
      <w:spacing w:beforeAutospacing="1" w:afterAutospacing="1"/>
      <w:jc w:val="left"/>
    </w:pPr>
    <w:rPr>
      <w:rFonts w:ascii="Calibri" w:hAnsi="Calibri" w:eastAsia="宋体"/>
      <w:kern w:val="0"/>
      <w:sz w:val="24"/>
      <w:szCs w:val="24"/>
    </w:rPr>
  </w:style>
  <w:style w:type="character" w:styleId="8">
    <w:name w:val="page number"/>
    <w:qFormat/>
    <w:uiPriority w:val="0"/>
  </w:style>
  <w:style w:type="paragraph" w:customStyle="1" w:styleId="9">
    <w:name w:val="List Paragraph"/>
    <w:basedOn w:val="1"/>
    <w:qFormat/>
    <w:uiPriority w:val="0"/>
    <w:pPr>
      <w:ind w:firstLine="420" w:firstLineChars="200"/>
    </w:pPr>
    <w:rPr>
      <w:rFonts w:ascii="Calibri" w:hAnsi="Calibri"/>
      <w:szCs w:val="22"/>
    </w:rPr>
  </w:style>
  <w:style w:type="paragraph" w:customStyle="1" w:styleId="10">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unhideWhenUsed/>
    <w:qFormat/>
    <w:uiPriority w:val="99"/>
    <w:pPr>
      <w:widowControl/>
    </w:pPr>
    <w:rPr>
      <w:rFonts w:hint="eastAsia"/>
    </w:rPr>
  </w:style>
  <w:style w:type="paragraph" w:customStyle="1" w:styleId="12">
    <w:name w:val="Table Text"/>
    <w:basedOn w:val="1"/>
    <w:semiHidden/>
    <w:qFormat/>
    <w:uiPriority w:val="0"/>
    <w:rPr>
      <w:rFonts w:ascii="宋体" w:hAnsi="宋体" w:eastAsia="宋体" w:cs="宋体"/>
      <w:sz w:val="32"/>
      <w:szCs w:val="32"/>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2026-08-14T07:46:15Z</dcterms:created>
  <dc:creator>产权</dc:creator>
  <cp:lastModifiedBy>大象滑滑梯</cp:lastModifiedBy>
  <dcterms:modified xsi:type="dcterms:W3CDTF">2026-08-14T07:46:32Z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3694C87CD84248B38F0CDA850B943530_12</vt:lpwstr>
  </property>
</Properties>
</file>